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:I SPEAK ENGLISH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