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uppressAutoHyphens w:val="1"/>
        <w:ind w:right="13"/>
        <w:jc w:val="right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Default"/>
        <w:ind w:left="6372" w:firstLine="708"/>
        <w:rPr>
          <w:b w:val="1"/>
          <w:bCs w:val="1"/>
          <w:u w:color="000000"/>
        </w:rPr>
      </w:pPr>
    </w:p>
    <w:p>
      <w:pPr>
        <w:pStyle w:val="heading 2"/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heading 2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Allegato A </w:t>
      </w:r>
    </w:p>
    <w:p>
      <w:pPr>
        <w:pStyle w:val="heading 2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heading 2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color="ff0000"/>
          <w:lang w:val="it-IT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LINEE GUIDA PER L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ELABORAZIONE DEL PROGETTO DA SOTTOPORRE ALLA VALUTAZIONE DEL DIRIGENT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</w:t>
      </w:r>
    </w:p>
    <w:p>
      <w:pPr>
        <w:pStyle w:val="Normal.0"/>
        <w:rPr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rPr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tbl>
      <w:tblPr>
        <w:tblW w:w="99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90"/>
        <w:gridCol w:w="1134"/>
        <w:gridCol w:w="2551"/>
        <w:gridCol w:w="1559"/>
        <w:gridCol w:w="1560"/>
        <w:gridCol w:w="2126"/>
      </w:tblGrid>
      <w:tr>
        <w:tblPrEx>
          <w:shd w:val="clear" w:color="auto" w:fill="ced7e7"/>
        </w:tblPrEx>
        <w:trPr>
          <w:trHeight w:val="934" w:hRule="atLeast"/>
        </w:trPr>
        <w:tc>
          <w:tcPr>
            <w:tcW w:type="dxa" w:w="9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8db3e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4" w:lineRule="auto"/>
            </w:pPr>
            <w:r>
              <w:rPr>
                <w:shd w:val="nil" w:color="auto" w:fill="auto"/>
                <w:rtl w:val="0"/>
                <w:lang w:val="it-IT"/>
              </w:rPr>
              <w:t>AZIONE</w:t>
            </w:r>
          </w:p>
        </w:tc>
        <w:tc>
          <w:tcPr>
            <w:tcW w:type="dxa" w:w="11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8db3e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54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 xml:space="preserve"> SOTTO</w:t>
            </w:r>
          </w:p>
          <w:p>
            <w:pPr>
              <w:pStyle w:val="Normal.0"/>
              <w:bidi w:val="0"/>
              <w:spacing w:line="254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AZIONE</w:t>
            </w:r>
          </w:p>
        </w:tc>
        <w:tc>
          <w:tcPr>
            <w:tcW w:type="dxa" w:w="25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8db3e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4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>CODICE</w:t>
            </w:r>
          </w:p>
          <w:p>
            <w:pPr>
              <w:pStyle w:val="Normal.0"/>
              <w:bidi w:val="0"/>
              <w:spacing w:line="254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IDENTIFICATIVO PROGETTO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8db3e2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54" w:lineRule="auto"/>
              <w:ind w:left="57" w:firstLine="0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 xml:space="preserve">TITOLO </w:t>
            </w:r>
          </w:p>
          <w:p>
            <w:pPr>
              <w:pStyle w:val="Normal.0"/>
              <w:bidi w:val="0"/>
              <w:spacing w:line="254" w:lineRule="auto"/>
              <w:ind w:left="57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 xml:space="preserve">PROGETTO 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8db3e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54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 xml:space="preserve">IMPORTO </w:t>
            </w:r>
          </w:p>
          <w:p>
            <w:pPr>
              <w:pStyle w:val="Normal.0"/>
              <w:bidi w:val="0"/>
              <w:spacing w:line="254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 xml:space="preserve">AUTORIZZATO </w:t>
            </w:r>
          </w:p>
        </w:tc>
        <w:tc>
          <w:tcPr>
            <w:tcW w:type="dxa" w:w="21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8db3e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9cc2e5"/>
              <w:spacing w:line="254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CUP</w:t>
            </w:r>
          </w:p>
        </w:tc>
      </w:tr>
      <w:tr>
        <w:tblPrEx>
          <w:shd w:val="clear" w:color="auto" w:fill="ced7e7"/>
        </w:tblPrEx>
        <w:trPr>
          <w:trHeight w:val="934" w:hRule="atLeast"/>
        </w:trPr>
        <w:tc>
          <w:tcPr>
            <w:tcW w:type="dxa" w:w="9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15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54" w:lineRule="auto"/>
              <w:ind w:left="76" w:firstLine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10. 2.2</w:t>
            </w:r>
          </w:p>
        </w:tc>
        <w:tc>
          <w:tcPr>
            <w:tcW w:type="dxa" w:w="11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15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54" w:lineRule="auto"/>
              <w:ind w:left="78" w:firstLine="0"/>
            </w:pPr>
            <w:r>
              <w:rPr>
                <w:shd w:val="nil" w:color="auto" w:fill="auto"/>
                <w:rtl w:val="0"/>
                <w:lang w:val="it-IT"/>
              </w:rPr>
              <w:t>10.2.2A</w:t>
            </w:r>
          </w:p>
        </w:tc>
        <w:tc>
          <w:tcPr>
            <w:tcW w:type="dxa" w:w="25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keepNext w:val="1"/>
              <w:keepLines w:val="1"/>
              <w:spacing w:before="40"/>
              <w:outlineLvl w:val="1"/>
            </w:pPr>
            <w:r>
              <w:rPr>
                <w:shd w:val="nil" w:color="auto" w:fill="auto"/>
                <w:rtl w:val="0"/>
                <w:lang w:val="it-IT"/>
              </w:rPr>
              <w:t>10.2.2A-FDRPOC-SI-2022-262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54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PERSONAL LEARNING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54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€ </w:t>
            </w:r>
            <w:r>
              <w:rPr>
                <w:shd w:val="nil" w:color="auto" w:fill="auto"/>
                <w:rtl w:val="0"/>
                <w:lang w:val="en-US"/>
              </w:rPr>
              <w:t>39.280,50</w:t>
            </w:r>
            <w:r>
              <w:rPr>
                <w:shd w:val="nil" w:color="auto" w:fill="auto"/>
              </w:rPr>
            </w:r>
          </w:p>
        </w:tc>
        <w:tc>
          <w:tcPr>
            <w:tcW w:type="dxa" w:w="21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54" w:lineRule="auto"/>
            </w:pPr>
            <w:r>
              <w:rPr>
                <w:shd w:val="nil" w:color="auto" w:fill="auto"/>
                <w:rtl w:val="0"/>
                <w:lang w:val="en-US"/>
              </w:rPr>
              <w:t>C54C22000070001</w:t>
            </w:r>
          </w:p>
        </w:tc>
      </w:tr>
    </w:tbl>
    <w:p>
      <w:pPr>
        <w:pStyle w:val="Normal.0"/>
        <w:rPr>
          <w:b w:val="1"/>
          <w:bCs w:val="1"/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b w:val="1"/>
          <w:bCs w:val="1"/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Body Text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esperto dovr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elaborare un progetto riferito al modulo per cui propone la propria candidatura, tenendo conto delle seguenti linee guida:</w:t>
      </w:r>
    </w:p>
    <w:p>
      <w:pPr>
        <w:pStyle w:val="Body Text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32"/>
      </w:tblGrid>
      <w:tr>
        <w:tblPrEx>
          <w:shd w:val="clear" w:color="auto" w:fill="4f81bd"/>
        </w:tblPrEx>
        <w:trPr>
          <w:trHeight w:val="500" w:hRule="atLeast"/>
          <w:tblHeader/>
        </w:trPr>
        <w:tc>
          <w:tcPr>
            <w:tcW w:type="dxa" w:w="963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0" w:hRule="atLeast"/>
        </w:trPr>
        <w:tc>
          <w:tcPr>
            <w:tcW w:type="dxa" w:w="9632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IL LATINO ALLA  RIZZO</w:t>
            </w:r>
          </w:p>
        </w:tc>
      </w:tr>
    </w:tbl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b w:val="1"/>
          <w:bCs w:val="1"/>
          <w:lang w:val="it-IT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b w:val="1"/>
          <w:bCs w:val="1"/>
          <w:lang w:val="it-IT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lang w:val="it-IT"/>
        </w:rPr>
      </w:pP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" w:hanging="108"/>
        <w:rPr>
          <w:lang w:val="it-IT"/>
        </w:rPr>
      </w:pPr>
    </w:p>
    <w:p>
      <w:pPr>
        <w:pStyle w:val="Body Text"/>
        <w:jc w:val="both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 laboratorio mira a coniugare l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analisi rigorosa dei testi classici e delle lingue antiche con l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impiego delle tecnologie digitali  per sviluppare  competenze sociali e trasversali specifiche. L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attivit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prevede l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analisi in chiave multimediale di un tema presente in un testo classico visto sia nell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ottica antica che in una ottica contemporanea e la successiva realizzazione di un prodotto digitale (blog, presentazione interattiva, video) a piccoli gruppi. Un team di studenti realizzer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anche un gioco interattivo (gamification) sulla lingua e sullo stile del testo classico con l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utilizzo di specifiche app per la creazione di cruciverba interattivi.</w:t>
      </w:r>
    </w:p>
    <w:p>
      <w:pPr>
        <w:pStyle w:val="Di default"/>
        <w:keepNext w:val="1"/>
        <w:keepLines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90" w:line="248" w:lineRule="auto"/>
        <w:ind w:left="249" w:right="90" w:hanging="10"/>
        <w:jc w:val="both"/>
        <w:outlineLvl w:val="0"/>
        <w:rPr>
          <w:rFonts w:ascii="Times New Roman" w:cs="Times New Roman" w:hAnsi="Times New Roman" w:eastAsia="Times New Roman"/>
          <w:b w:val="1"/>
          <w:bCs w:val="1"/>
          <w:sz w:val="20"/>
          <w:szCs w:val="20"/>
          <w:u w:color="000000"/>
          <w:rtl w:val="0"/>
          <w:lang w:val="it-IT"/>
        </w:rPr>
      </w:pP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48" w:hanging="648"/>
        <w:rPr>
          <w:sz w:val="20"/>
          <w:szCs w:val="20"/>
          <w:u w:val="single"/>
          <w:lang w:val="it-IT"/>
        </w:rPr>
      </w:pP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" w:hanging="540"/>
        <w:rPr>
          <w:sz w:val="20"/>
          <w:szCs w:val="20"/>
          <w:u w:val="single"/>
          <w:lang w:val="it-IT"/>
        </w:rPr>
      </w:pP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  <w:u w:val="single"/>
          <w:lang w:val="it-IT"/>
        </w:rPr>
      </w:pPr>
    </w:p>
    <w:tbl>
      <w:tblPr>
        <w:tblW w:w="963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de6d0"/>
        <w:tblLayout w:type="fixed"/>
      </w:tblPr>
      <w:tblGrid>
        <w:gridCol w:w="9632"/>
      </w:tblGrid>
      <w:tr>
        <w:tblPrEx>
          <w:shd w:val="clear" w:color="auto" w:fill="9bbb59"/>
        </w:tblPrEx>
        <w:trPr>
          <w:trHeight w:val="500" w:hRule="atLeast"/>
          <w:tblHeader/>
        </w:trPr>
        <w:tc>
          <w:tcPr>
            <w:tcW w:type="dxa" w:w="963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9bbb59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dde6d0"/>
        </w:tblPrEx>
        <w:trPr>
          <w:trHeight w:val="470" w:hRule="atLeast"/>
        </w:trPr>
        <w:tc>
          <w:tcPr>
            <w:tcW w:type="dxa" w:w="9632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de6d0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LONDON </w:t>
            </w:r>
          </w:p>
        </w:tc>
      </w:tr>
    </w:tbl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" w:hanging="108"/>
        <w:rPr>
          <w:lang w:val="it-IT"/>
        </w:rPr>
      </w:pPr>
    </w:p>
    <w:p>
      <w:pPr>
        <w:pStyle w:val="Normal.0"/>
        <w:jc w:val="both"/>
        <w:rPr>
          <w:b w:val="1"/>
          <w:bCs w:val="1"/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b w:val="1"/>
          <w:bCs w:val="1"/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Body Text"/>
        <w:jc w:val="both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 livello internazionale sono note le potenzialit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delle tecnologie digitali per l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apprendimento linguistico. Mobile, social networks, community permettono interazioni con native speaker, attivit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collaborative di lettura e scrittura sono possibili con blog, wiki ed editor condivisi. A tal proposito diventa necessario promuovere nel laboratorio una didattica in cui l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attuazione dell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approccio comunicativo sia potenziato dal mobile e dal web 2.0. Un giornalino online, una guida della citt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 possono realizzare collaborativamente grazie agli strumenti citati. L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attivit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inizier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nel laboratorio e proseguir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 altri spazi fisici e virtuali, ridefinendo e ampliando il concetto di ambiente di apprendimento e modalit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interazione.</w:t>
      </w:r>
    </w:p>
    <w:p>
      <w:pPr>
        <w:pStyle w:val="Normal.0"/>
        <w:jc w:val="both"/>
        <w:rPr>
          <w:b w:val="1"/>
          <w:bCs w:val="1"/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b w:val="1"/>
          <w:bCs w:val="1"/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fbdccd"/>
        <w:tblLayout w:type="fixed"/>
      </w:tblPr>
      <w:tblGrid>
        <w:gridCol w:w="9632"/>
      </w:tblGrid>
      <w:tr>
        <w:tblPrEx>
          <w:shd w:val="clear" w:color="auto" w:fill="f79646"/>
        </w:tblPrEx>
        <w:trPr>
          <w:trHeight w:val="500" w:hRule="atLeast"/>
          <w:tblHeader/>
        </w:trPr>
        <w:tc>
          <w:tcPr>
            <w:tcW w:type="dxa" w:w="963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f7964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fbdccd"/>
        </w:tblPrEx>
        <w:trPr>
          <w:trHeight w:val="470" w:hRule="atLeast"/>
        </w:trPr>
        <w:tc>
          <w:tcPr>
            <w:tcW w:type="dxa" w:w="9632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bdcc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I SPEAK ENGLISH</w:t>
            </w:r>
          </w:p>
        </w:tc>
      </w:tr>
    </w:tbl>
    <w:p>
      <w:pPr>
        <w:pStyle w:val="Normal.0"/>
        <w:jc w:val="both"/>
        <w:rPr>
          <w:b w:val="1"/>
          <w:bCs w:val="1"/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Body Text"/>
        <w:ind w:left="108" w:hanging="108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jc w:val="both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La pratica didattica della lingua straniera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pi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ù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efficace quando si basa su un approccio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comunicativo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 a partire da una situazione, da un contenuto, con obiettivi realistici, motivanti rispetto a interessi, capacit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 contesto degli studenti. Il laboratorio individua ambienti di apprendimento che, varcando le mura della scuola o della citt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 diventano il contesto reale per l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interazione in lingua straniera (incontri nei parchi, nelle biblioteche, nelle comunit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virtuali che permettono l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interazione e condivisione di esperienze e di interessi con native speaker della stessa et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). Tale approccio sar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seguito anche attraverso la flessibilit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nella progettazione didattica a partire dalla diagnosi degli interessi e delle esigenze linguistiche degli studenti.</w:t>
      </w:r>
    </w:p>
    <w:p>
      <w:pPr>
        <w:pStyle w:val="Body Text"/>
        <w:jc w:val="both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32"/>
      </w:tblGrid>
      <w:tr>
        <w:tblPrEx>
          <w:shd w:val="clear" w:color="auto" w:fill="4f81bd"/>
        </w:tblPrEx>
        <w:trPr>
          <w:trHeight w:val="500" w:hRule="atLeast"/>
          <w:tblHeader/>
        </w:trPr>
        <w:tc>
          <w:tcPr>
            <w:tcW w:type="dxa" w:w="963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0" w:hRule="atLeast"/>
        </w:trPr>
        <w:tc>
          <w:tcPr>
            <w:tcW w:type="dxa" w:w="9632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STUDIO ASTRONOMIA</w:t>
            </w:r>
          </w:p>
        </w:tc>
      </w:tr>
    </w:tbl>
    <w:p>
      <w:pPr>
        <w:pStyle w:val="Body Text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jc w:val="both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jc w:val="both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Le STEM vanno nella direzione di un approccio integrato alle discipline di ambito scientifico. Nel laboratorio si offre agli alunni il confronto con l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oggetto di studio (un problema reale o un fenomeno riprodotto in laboratorio), si pongono delle domande significative, si formulano e confrontano delle ipotesi, le si verificano attraverso esperimenti da loro progettati e se ne discutono i risultati con i propri compagni e con il docente per concludere con una nuova domanda di ricerca.</w:t>
      </w:r>
    </w:p>
    <w:p>
      <w:pPr>
        <w:pStyle w:val="Body Text"/>
        <w:jc w:val="both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jc w:val="both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632" w:type="dxa"/>
        <w:jc w:val="left"/>
        <w:tblInd w:w="108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000000"/>
        <w:tblLayout w:type="fixed"/>
      </w:tblPr>
      <w:tblGrid>
        <w:gridCol w:w="9632"/>
      </w:tblGrid>
      <w:tr>
        <w:tblPrEx>
          <w:shd w:val="clear" w:color="auto" w:fill="auto"/>
        </w:tblPrEx>
        <w:trPr>
          <w:trHeight w:val="500" w:hRule="atLeast"/>
          <w:tblHeader/>
        </w:trPr>
        <w:tc>
          <w:tcPr>
            <w:tcW w:type="dxa" w:w="963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1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000000"/>
        </w:tblPrEx>
        <w:trPr>
          <w:trHeight w:val="460" w:hRule="atLeast"/>
        </w:trPr>
        <w:tc>
          <w:tcPr>
            <w:tcW w:type="dxa" w:w="9632"/>
            <w:tcBorders>
              <w:top w:val="single" w:color="000000" w:sz="16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0000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PRODOTTO</w:t>
            </w:r>
          </w:p>
        </w:tc>
      </w:tr>
    </w:tbl>
    <w:p>
      <w:pPr>
        <w:pStyle w:val="Body Text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jc w:val="both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Un aspetto centrale della pedagogia del tinkering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l'idea di un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projectory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”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ovvero di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progetto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”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e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traiettoria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</w:t>
      </w:r>
    </w:p>
    <w:p>
      <w:pPr>
        <w:pStyle w:val="Body Text"/>
        <w:jc w:val="both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 percorso laboratoriale si basa su esplorazione e sperimentazione con l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utilizzo di materiali di riciclo e di strumenti di fablab. Facendo uso di vari materiali, gli studenti sono incoraggiati a realizzare progetti attraverso i quali si sviluppano le abilit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come la creativit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 la comunicazione e lavoro di gruppo, inventando  soluzioni e mettendo alla prova le loro creazioni, anche per divertirsi, utilizzando spesso materiali di riciclo, con lo sviluppo delle attivit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manipolazione, e strumenti per il making (stampanti 3d).</w:t>
      </w:r>
    </w:p>
    <w:p>
      <w:pPr>
        <w:pStyle w:val="Body Text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de6d0"/>
        <w:tblLayout w:type="fixed"/>
      </w:tblPr>
      <w:tblGrid>
        <w:gridCol w:w="9632"/>
      </w:tblGrid>
      <w:tr>
        <w:tblPrEx>
          <w:shd w:val="clear" w:color="auto" w:fill="9bbb59"/>
        </w:tblPrEx>
        <w:trPr>
          <w:trHeight w:val="500" w:hRule="atLeast"/>
          <w:tblHeader/>
        </w:trPr>
        <w:tc>
          <w:tcPr>
            <w:tcW w:type="dxa" w:w="963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9bbb59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dde6d0"/>
        </w:tblPrEx>
        <w:trPr>
          <w:trHeight w:val="470" w:hRule="atLeast"/>
        </w:trPr>
        <w:tc>
          <w:tcPr>
            <w:tcW w:type="dxa" w:w="9632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de6d0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IL MIO ORTO</w:t>
            </w:r>
          </w:p>
        </w:tc>
      </w:tr>
    </w:tbl>
    <w:p>
      <w:pPr>
        <w:pStyle w:val="Body Text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jc w:val="both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jc w:val="both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jc w:val="both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educazione all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ambiente naturale e alla natura si basa anche su esperienze di tipo laboratoriale per conoscere gli attrezzi per la coltivazione, le aiuole delle piante officinali, i diversi cereali, l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orto e le sue stagioni, le piante aromatiche, la raccolta di fiori o foglie per sperimentare la conservazione e l'uso delle piante raccolte.</w:t>
      </w:r>
    </w:p>
    <w:p>
      <w:pPr>
        <w:pStyle w:val="Body Text"/>
        <w:jc w:val="both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 percorso prevede attivit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apprendimento e sperimentazione, quali ciclo vitale delle piante e loro differenze, i frutti e i semi, vita degli insetti (il loro corpo, il loro colore, le zampe, la bocca, gli elementi di difesa; danze e mimetismi; crescita e sviluppo), conoscenza degli animali della fattoria, percorsi di orticoltura e floricoltura, finalizzati a sviluppare abilit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pratiche e manuali, di osservazione e conoscenza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sul campo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”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dei cicli biologici dei vegetali e degli animali.</w:t>
      </w:r>
    </w:p>
    <w:p>
      <w:pPr>
        <w:pStyle w:val="Body Text"/>
        <w:jc w:val="both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jc w:val="both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fbdccd"/>
        <w:tblLayout w:type="fixed"/>
      </w:tblPr>
      <w:tblGrid>
        <w:gridCol w:w="9632"/>
      </w:tblGrid>
      <w:tr>
        <w:tblPrEx>
          <w:shd w:val="clear" w:color="auto" w:fill="f79646"/>
        </w:tblPrEx>
        <w:trPr>
          <w:trHeight w:val="500" w:hRule="atLeast"/>
          <w:tblHeader/>
        </w:trPr>
        <w:tc>
          <w:tcPr>
            <w:tcW w:type="dxa" w:w="963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f7964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fbdccd"/>
        </w:tblPrEx>
        <w:trPr>
          <w:trHeight w:val="470" w:hRule="atLeast"/>
        </w:trPr>
        <w:tc>
          <w:tcPr>
            <w:tcW w:type="dxa" w:w="9632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bdcc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PERCORSI SOSTENIBILI</w:t>
            </w:r>
          </w:p>
        </w:tc>
      </w:tr>
    </w:tbl>
    <w:p>
      <w:pPr>
        <w:pStyle w:val="Body Text"/>
        <w:jc w:val="both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jc w:val="both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jc w:val="both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jc w:val="both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educazione all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ambiente naturale e alla natura si basa anche su esperienze di tipo laboratoriale per conoscere gli attrezzi per la coltivazione, le aiuole delle piante officinali, i diversi cereali, l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orto e le sue stagioni, le piante aromatiche, la raccolta di fiori o foglie per sperimentare la conservazione e l'uso delle piante raccolte.</w:t>
      </w:r>
    </w:p>
    <w:p>
      <w:pPr>
        <w:pStyle w:val="Body Text"/>
      </w:pPr>
      <w:r>
        <w:rPr>
          <w:rFonts w:cs="Arial Unicode MS" w:eastAsia="Arial Unicode MS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 percorso prevede attivit</w:t>
      </w:r>
      <w:r>
        <w:rPr>
          <w:rFonts w:cs="Arial Unicode MS" w:eastAsia="Arial Unicode MS" w:hint="default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cs="Arial Unicode MS" w:eastAsia="Arial Unicode MS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apprendimento e sperimentazione, quali ciclo vitale delle piante e loro differenze, i frutti e i semi, vita degli insetti (il loro corpo, il loro colore, le zampe, la bocca, gli elementi di difesa; danze e mimetismi; crescita e sviluppo), conoscenza degli animali della fattoria, percorsi di orticoltura e floricoltura, finalizzati a sviluppare abilit</w:t>
      </w:r>
      <w:r>
        <w:rPr>
          <w:rFonts w:cs="Arial Unicode MS" w:eastAsia="Arial Unicode MS" w:hint="default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cs="Arial Unicode MS" w:eastAsia="Arial Unicode MS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pratiche e manuali, di osservazione e conoscenza </w:t>
      </w:r>
      <w:r>
        <w:rPr>
          <w:rFonts w:cs="Arial Unicode MS" w:eastAsia="Arial Unicode MS" w:hint="default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cs="Arial Unicode MS" w:eastAsia="Arial Unicode MS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sul campo</w:t>
      </w:r>
      <w:r>
        <w:rPr>
          <w:rFonts w:cs="Arial Unicode MS" w:eastAsia="Arial Unicode MS" w:hint="default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”</w:t>
      </w:r>
    </w:p>
    <w:sectPr>
      <w:headerReference w:type="default" r:id="rId4"/>
      <w:footerReference w:type="default" r:id="rId5"/>
      <w:pgSz w:w="11920" w:h="16840" w:orient="portrait"/>
      <w:pgMar w:top="993" w:right="1134" w:bottom="993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6"/>
      <w:szCs w:val="26"/>
      <w:u w:val="none" w:color="365f91"/>
      <w:shd w:val="nil" w:color="auto" w:fill="auto"/>
      <w:vertAlign w:val="baseline"/>
      <w:lang w:val="en-US"/>
      <w14:textFill>
        <w14:solidFill>
          <w14:srgbClr w14:val="365F91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